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32"/>
        </w:rPr>
        <w:t>Учётная политика: приказ об утверждении и структура</w:t>
      </w:r>
    </w:p>
    <w:p>
      <w:pPr>
        <w:spacing w:after="320"/>
        <w:jc w:val="both"/>
      </w:pPr>
      <w:r>
        <w:rPr>
          <w:b w:val="0"/>
          <w:i/>
          <w:sz w:val="20"/>
        </w:rPr>
        <w:t>Утверждённой формы учётной политики не существует: ст. 313 НК РФ прямо запрещает устанавливать обязательные формы документов налогового учёта, а ПБУ 1/2008 требует лишь оформить политику организационно-распорядительным документом. Ниже — приказ об утверждении и перечень разделов, которые нужно закрыть.</w:t>
      </w:r>
    </w:p>
    <w:p>
      <w:pPr>
        <w:spacing w:after="240"/>
      </w:pPr>
      <w:r>
        <w:rPr>
          <w:b/>
          <w:i w:val="0"/>
          <w:sz w:val="24"/>
        </w:rPr>
        <w:t>ЧАСТЬ 1. ПРИКАЗ ОБ УТВЕРЖДЕНИИ</w:t>
      </w:r>
    </w:p>
    <w:p>
      <w:pPr>
        <w:spacing w:after="0"/>
        <w:jc w:val="center"/>
      </w:pPr>
      <w:r>
        <w:rPr>
          <w:b w:val="0"/>
          <w:i w:val="0"/>
          <w:sz w:val="22"/>
        </w:rPr>
        <w:t>______________________________________________</w:t>
      </w:r>
    </w:p>
    <w:p>
      <w:pPr>
        <w:spacing w:after="240"/>
        <w:jc w:val="center"/>
      </w:pPr>
      <w:r>
        <w:rPr>
          <w:b w:val="0"/>
          <w:i/>
          <w:sz w:val="16"/>
        </w:rPr>
        <w:t>(полное наименование организации)</w:t>
      </w:r>
    </w:p>
    <w:p>
      <w:pPr>
        <w:spacing w:after="80"/>
        <w:jc w:val="center"/>
      </w:pPr>
      <w:r>
        <w:rPr>
          <w:b/>
          <w:i w:val="0"/>
          <w:sz w:val="24"/>
        </w:rPr>
        <w:t>ПРИКАЗ № ______</w:t>
      </w:r>
    </w:p>
    <w:p>
      <w:pPr>
        <w:spacing w:after="240"/>
        <w:jc w:val="center"/>
      </w:pPr>
      <w:r>
        <w:rPr>
          <w:b w:val="0"/>
          <w:i w:val="0"/>
          <w:sz w:val="22"/>
        </w:rPr>
        <w:t>об утверждении учётной политики</w:t>
      </w:r>
    </w:p>
    <w:p>
      <w:pPr>
        <w:spacing w:after="280"/>
      </w:pPr>
      <w:r>
        <w:rPr>
          <w:b w:val="0"/>
          <w:i w:val="0"/>
          <w:sz w:val="22"/>
        </w:rPr>
        <w:t>г. ______________                                    «____» __________ 20____ г.</w:t>
      </w:r>
    </w:p>
    <w:p>
      <w:pPr>
        <w:spacing w:after="200"/>
        <w:jc w:val="both"/>
      </w:pPr>
      <w:r>
        <w:rPr>
          <w:b w:val="0"/>
          <w:i w:val="0"/>
          <w:sz w:val="24"/>
        </w:rPr>
        <w:t>В соответствии с Федеральным законом от 06.12.2011 № 402-ФЗ «О бухгалтерском учёте», Положением по бухгалтерскому учёту «Учётная политика организации» (ПБУ 1/2008) и статьёй 313 Налогового кодекса Российской Федерации</w:t>
      </w:r>
    </w:p>
    <w:p>
      <w:pPr>
        <w:spacing w:after="200"/>
      </w:pPr>
      <w:r>
        <w:rPr>
          <w:b/>
          <w:i w:val="0"/>
          <w:sz w:val="24"/>
        </w:rPr>
        <w:t>ПРИКАЗЫВАЮ:</w:t>
      </w:r>
    </w:p>
    <w:p>
      <w:pPr>
        <w:spacing w:after="160"/>
        <w:jc w:val="both"/>
      </w:pPr>
      <w:r>
        <w:rPr>
          <w:b w:val="0"/>
          <w:i w:val="0"/>
          <w:sz w:val="24"/>
        </w:rPr>
        <w:t>1. Утвердить учётную политику для целей бухгалтерского учёта (приложение № 1) и учётную политику для целей налогообложения (приложение № 2).</w:t>
      </w:r>
    </w:p>
    <w:p>
      <w:pPr>
        <w:spacing w:after="160"/>
        <w:jc w:val="both"/>
      </w:pPr>
      <w:r>
        <w:rPr>
          <w:b w:val="0"/>
          <w:i w:val="0"/>
          <w:sz w:val="24"/>
        </w:rPr>
        <w:t>2. Применять утверждённую учётную политику с «01» января 20____ года.</w:t>
      </w:r>
    </w:p>
    <w:p>
      <w:pPr>
        <w:spacing w:after="160"/>
        <w:jc w:val="both"/>
      </w:pPr>
      <w:r>
        <w:rPr>
          <w:b w:val="0"/>
          <w:i w:val="0"/>
          <w:sz w:val="24"/>
        </w:rPr>
        <w:t>3. Контроль за исполнением приказа возложить на ______________________________.</w:t>
      </w:r>
    </w:p>
    <w:p>
      <w:pPr>
        <w:spacing w:after="320"/>
        <w:jc w:val="both"/>
      </w:pPr>
      <w:r>
        <w:rPr>
          <w:b w:val="0"/>
          <w:i w:val="0"/>
          <w:sz w:val="24"/>
        </w:rPr>
        <w:t>4. Ознакомить с приказом ответственных лиц под роспись.</w:t>
      </w:r>
    </w:p>
    <w:p>
      <w:pPr>
        <w:spacing w:after="320"/>
      </w:pPr>
      <w:r>
        <w:rPr>
          <w:b w:val="0"/>
          <w:i w:val="0"/>
          <w:sz w:val="22"/>
        </w:rPr>
        <w:t>Руководитель ____________ / ______________________</w:t>
      </w:r>
    </w:p>
    <w:p>
      <w:pPr>
        <w:spacing w:after="200"/>
        <w:jc w:val="both"/>
      </w:pPr>
      <w:r>
        <w:rPr>
          <w:b w:val="0"/>
          <w:i/>
          <w:sz w:val="18"/>
        </w:rPr>
        <w:t>Способы учёта, выбранные в учётной политике, применяются с 1 января года, следующего за годом утверждения приказа (п. 9 ПБУ 1/2008). Вновь созданная организация оформляет учётную политику не позднее 90 дней со дня государственной регистрации.</w:t>
      </w:r>
    </w:p>
    <w:p>
      <w:r>
        <w:br w:type="page"/>
      </w:r>
    </w:p>
    <w:p>
      <w:pPr>
        <w:spacing w:after="200"/>
      </w:pPr>
      <w:r>
        <w:rPr>
          <w:b/>
          <w:i w:val="0"/>
          <w:sz w:val="24"/>
        </w:rPr>
        <w:t>ЧАСТЬ 2. СТРУКТУРА УЧЁТНОЙ ПОЛИТИКИ</w:t>
      </w:r>
    </w:p>
    <w:p>
      <w:pPr>
        <w:spacing w:after="280"/>
        <w:jc w:val="both"/>
      </w:pPr>
      <w:r>
        <w:rPr>
          <w:b w:val="0"/>
          <w:i/>
          <w:sz w:val="20"/>
        </w:rPr>
        <w:t>Перечень разделов, которые обязана закрыть учётная политика. Содержание каждого пункта пишется под конкретный бизнес: переписывать чужой шаблон с методами, которые вы не применяете, опаснее, чем не иметь политики вовсе.</w:t>
      </w:r>
    </w:p>
    <w:p>
      <w:pPr>
        <w:spacing w:after="160"/>
      </w:pPr>
      <w:r>
        <w:rPr>
          <w:b/>
          <w:i w:val="0"/>
          <w:sz w:val="24"/>
        </w:rPr>
        <w:t>Раздел I. Организация учёта</w:t>
      </w:r>
    </w:p>
    <w:p>
      <w:pPr>
        <w:pStyle w:val="ListBullet"/>
        <w:spacing w:after="60"/>
      </w:pPr>
      <w:r>
        <w:rPr>
          <w:sz w:val="22"/>
        </w:rPr>
        <w:t>Кто ведёт бухгалтерский учёт: главный бухгалтер, руководитель лично, штатный бухгалтер или внешний исполнитель по договору</w:t>
      </w:r>
    </w:p>
    <w:p>
      <w:pPr>
        <w:pStyle w:val="ListBullet"/>
        <w:spacing w:after="60"/>
      </w:pPr>
      <w:r>
        <w:rPr>
          <w:sz w:val="22"/>
        </w:rPr>
        <w:t>Рабочий план счетов: синтетические и аналитические счета</w:t>
      </w:r>
    </w:p>
    <w:p>
      <w:pPr>
        <w:pStyle w:val="ListBullet"/>
        <w:spacing w:after="60"/>
      </w:pPr>
      <w:r>
        <w:rPr>
          <w:sz w:val="22"/>
        </w:rPr>
        <w:t>Формы первичных учётных документов и регистров бухгалтерского учёта</w:t>
      </w:r>
    </w:p>
    <w:p>
      <w:pPr>
        <w:pStyle w:val="ListBullet"/>
        <w:spacing w:after="60"/>
      </w:pPr>
      <w:r>
        <w:rPr>
          <w:sz w:val="22"/>
        </w:rPr>
        <w:t>Правила документооборота и график движения документов</w:t>
      </w:r>
    </w:p>
    <w:p>
      <w:pPr>
        <w:pStyle w:val="ListBullet"/>
        <w:spacing w:after="60"/>
      </w:pPr>
      <w:r>
        <w:rPr>
          <w:sz w:val="22"/>
        </w:rPr>
        <w:t>Технология обработки учётной информации, применяемая программа</w:t>
      </w:r>
    </w:p>
    <w:p>
      <w:pPr>
        <w:pStyle w:val="ListBullet"/>
        <w:spacing w:after="60"/>
      </w:pPr>
      <w:r>
        <w:rPr>
          <w:sz w:val="22"/>
        </w:rPr>
        <w:t>Порядок и сроки проведения инвентаризации активов и обязательств</w:t>
      </w:r>
    </w:p>
    <w:p>
      <w:pPr>
        <w:pStyle w:val="ListBullet"/>
        <w:spacing w:after="60"/>
      </w:pPr>
      <w:r>
        <w:rPr>
          <w:sz w:val="22"/>
        </w:rPr>
        <w:t>Порядок контроля за хозяйственными операциями</w:t>
      </w:r>
    </w:p>
    <w:p>
      <w:pPr>
        <w:pStyle w:val="ListBullet"/>
        <w:spacing w:after="60"/>
      </w:pPr>
      <w:r>
        <w:rPr>
          <w:sz w:val="22"/>
        </w:rPr>
        <w:t>Формы бухгалтерской отчётности: общие или упрощённые</w:t>
      </w:r>
    </w:p>
    <w:p>
      <w:pPr>
        <w:spacing w:after="120"/>
      </w:pPr>
      <w:r>
        <w:rPr>
          <w:b w:val="0"/>
          <w:i w:val="0"/>
          <w:sz w:val="16"/>
        </w:rPr>
      </w:r>
    </w:p>
    <w:p>
      <w:pPr>
        <w:spacing w:after="160"/>
      </w:pPr>
      <w:r>
        <w:rPr>
          <w:b/>
          <w:i w:val="0"/>
          <w:sz w:val="24"/>
        </w:rPr>
        <w:t>Раздел II. Способы ведения бухгалтерского учёта</w:t>
      </w:r>
    </w:p>
    <w:p>
      <w:pPr>
        <w:pStyle w:val="ListBullet"/>
        <w:spacing w:after="60"/>
      </w:pPr>
      <w:r>
        <w:rPr>
          <w:sz w:val="22"/>
        </w:rPr>
        <w:t>Основные средства: лимит стоимости, способ амортизации, порядок переоценки</w:t>
      </w:r>
    </w:p>
    <w:p>
      <w:pPr>
        <w:pStyle w:val="ListBullet"/>
        <w:spacing w:after="60"/>
      </w:pPr>
      <w:r>
        <w:rPr>
          <w:sz w:val="22"/>
        </w:rPr>
        <w:t>Нематериальные активы: признание, амортизация, сроки полезного использования</w:t>
      </w:r>
    </w:p>
    <w:p>
      <w:pPr>
        <w:pStyle w:val="ListBullet"/>
        <w:spacing w:after="60"/>
      </w:pPr>
      <w:r>
        <w:rPr>
          <w:sz w:val="22"/>
        </w:rPr>
        <w:t>Запасы: единица учёта, способ оценки при отпуске, порядок учёта транспортных расходов</w:t>
      </w:r>
    </w:p>
    <w:p>
      <w:pPr>
        <w:pStyle w:val="ListBullet"/>
        <w:spacing w:after="60"/>
      </w:pPr>
      <w:r>
        <w:rPr>
          <w:sz w:val="22"/>
        </w:rPr>
        <w:t>Учёт затрат и калькулирование себестоимости</w:t>
      </w:r>
    </w:p>
    <w:p>
      <w:pPr>
        <w:pStyle w:val="ListBullet"/>
        <w:spacing w:after="60"/>
      </w:pPr>
      <w:r>
        <w:rPr>
          <w:sz w:val="22"/>
        </w:rPr>
        <w:t>Порядок признания выручки, в том числе по длящимся договорам</w:t>
      </w:r>
    </w:p>
    <w:p>
      <w:pPr>
        <w:pStyle w:val="ListBullet"/>
        <w:spacing w:after="60"/>
      </w:pPr>
      <w:r>
        <w:rPr>
          <w:sz w:val="22"/>
        </w:rPr>
        <w:t>Резервы: по сомнительным долгам, на оплату отпусков, оценочные обязательства</w:t>
      </w:r>
    </w:p>
    <w:p>
      <w:pPr>
        <w:pStyle w:val="ListBullet"/>
        <w:spacing w:after="60"/>
      </w:pPr>
      <w:r>
        <w:rPr>
          <w:sz w:val="22"/>
        </w:rPr>
        <w:t>Учёт аренды по ФСБУ 25/2018, если у организации есть договоры аренды</w:t>
      </w:r>
    </w:p>
    <w:p>
      <w:pPr>
        <w:pStyle w:val="ListBullet"/>
        <w:spacing w:after="60"/>
      </w:pPr>
      <w:r>
        <w:rPr>
          <w:sz w:val="22"/>
        </w:rPr>
        <w:t>Применяемые упрощённые способы учёта, если организация имеет на них право</w:t>
      </w:r>
    </w:p>
    <w:p>
      <w:pPr>
        <w:spacing w:after="120"/>
      </w:pPr>
      <w:r>
        <w:rPr>
          <w:b w:val="0"/>
          <w:i w:val="0"/>
          <w:sz w:val="16"/>
        </w:rPr>
      </w:r>
    </w:p>
    <w:p>
      <w:pPr>
        <w:spacing w:after="160"/>
      </w:pPr>
      <w:r>
        <w:rPr>
          <w:b/>
          <w:i w:val="0"/>
          <w:sz w:val="24"/>
        </w:rPr>
        <w:t>Раздел III. Учётная политика для целей налогообложения</w:t>
      </w:r>
    </w:p>
    <w:p>
      <w:pPr>
        <w:pStyle w:val="ListBullet"/>
        <w:spacing w:after="60"/>
      </w:pPr>
      <w:r>
        <w:rPr>
          <w:sz w:val="22"/>
        </w:rPr>
        <w:t>Применяемый режим налогообложения и объект налогообложения</w:t>
      </w:r>
    </w:p>
    <w:p>
      <w:pPr>
        <w:pStyle w:val="ListBullet"/>
        <w:spacing w:after="60"/>
      </w:pPr>
      <w:r>
        <w:rPr>
          <w:sz w:val="22"/>
        </w:rPr>
        <w:t>Метод признания доходов и расходов: начисления или кассовый</w:t>
      </w:r>
    </w:p>
    <w:p>
      <w:pPr>
        <w:pStyle w:val="ListBullet"/>
        <w:spacing w:after="60"/>
      </w:pPr>
      <w:r>
        <w:rPr>
          <w:sz w:val="22"/>
        </w:rPr>
        <w:t>Порядок ведения налогового учёта и применяемые регистры</w:t>
      </w:r>
    </w:p>
    <w:p>
      <w:pPr>
        <w:pStyle w:val="ListBullet"/>
        <w:spacing w:after="60"/>
      </w:pPr>
      <w:r>
        <w:rPr>
          <w:sz w:val="22"/>
        </w:rPr>
        <w:t>Амортизация: метод, амортизационная премия, повышающие коэффициенты</w:t>
      </w:r>
    </w:p>
    <w:p>
      <w:pPr>
        <w:pStyle w:val="ListBullet"/>
        <w:spacing w:after="60"/>
      </w:pPr>
      <w:r>
        <w:rPr>
          <w:sz w:val="22"/>
        </w:rPr>
        <w:t>Порядок оценки сырья, материалов и покупных товаров при списании</w:t>
      </w:r>
    </w:p>
    <w:p>
      <w:pPr>
        <w:pStyle w:val="ListBullet"/>
        <w:spacing w:after="60"/>
      </w:pPr>
      <w:r>
        <w:rPr>
          <w:sz w:val="22"/>
        </w:rPr>
        <w:t>Формирование резервов для целей налогообложения</w:t>
      </w:r>
    </w:p>
    <w:p>
      <w:pPr>
        <w:pStyle w:val="ListBullet"/>
        <w:spacing w:after="60"/>
      </w:pPr>
      <w:r>
        <w:rPr>
          <w:sz w:val="22"/>
        </w:rPr>
        <w:t>Раздельный учёт: по облагаемым и необлагаемым НДС операциям, по видам деятельности, по целевому финансированию</w:t>
      </w:r>
    </w:p>
    <w:p>
      <w:pPr>
        <w:pStyle w:val="ListBullet"/>
        <w:spacing w:after="60"/>
      </w:pPr>
      <w:r>
        <w:rPr>
          <w:sz w:val="22"/>
        </w:rPr>
        <w:t>Порядок исчисления авансовых платежей и распределения налога по обособленным подразделениям</w:t>
      </w:r>
    </w:p>
    <w:p>
      <w:pPr>
        <w:spacing w:after="120"/>
      </w:pPr>
      <w:r>
        <w:rPr>
          <w:b w:val="0"/>
          <w:i w:val="0"/>
          <w:sz w:val="16"/>
        </w:rPr>
      </w:r>
    </w:p>
    <w:p>
      <w:pPr>
        <w:spacing w:after="200"/>
        <w:jc w:val="both"/>
      </w:pPr>
      <w:r>
        <w:rPr>
          <w:b w:val="0"/>
          <w:i/>
          <w:sz w:val="18"/>
        </w:rPr>
        <w:t>Менять учётную политику можно только с начала отчётного года — кроме случаев, когда изменились требования законодательства или появились новые факты хозяйственной деятельности, способ учёта которых закрепляется впервые (ч. 6–7 ст. 8 закона № 402-ФЗ, п. 10–12 ПБУ 1/2008).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